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D9" w:rsidRDefault="001363D9" w:rsidP="001363D9">
      <w:pPr>
        <w:spacing w:line="120" w:lineRule="auto"/>
        <w:ind w:firstLineChars="196" w:firstLine="571"/>
        <w:rPr>
          <w:rFonts w:ascii="仿宋" w:eastAsia="仿宋" w:hAnsi="仿宋" w:cs="仿宋"/>
          <w:b/>
          <w:bCs/>
          <w:w w:val="90"/>
          <w:sz w:val="32"/>
          <w:szCs w:val="32"/>
        </w:rPr>
      </w:pPr>
    </w:p>
    <w:p w:rsidR="001363D9" w:rsidRDefault="001363D9" w:rsidP="001363D9">
      <w:pPr>
        <w:spacing w:line="120" w:lineRule="auto"/>
        <w:ind w:firstLineChars="196" w:firstLine="571"/>
        <w:rPr>
          <w:rFonts w:ascii="仿宋" w:eastAsia="仿宋" w:hAnsi="仿宋" w:cs="仿宋"/>
          <w:b/>
          <w:bCs/>
          <w:w w:val="90"/>
          <w:sz w:val="32"/>
          <w:szCs w:val="32"/>
        </w:rPr>
      </w:pPr>
    </w:p>
    <w:p w:rsidR="001363D9" w:rsidRDefault="001363D9" w:rsidP="001363D9">
      <w:pPr>
        <w:spacing w:line="120" w:lineRule="auto"/>
        <w:ind w:firstLineChars="196" w:firstLine="571"/>
        <w:jc w:val="center"/>
        <w:rPr>
          <w:rFonts w:ascii="仿宋" w:eastAsia="仿宋" w:hAnsi="仿宋" w:cs="仿宋"/>
          <w:b/>
          <w:bCs/>
          <w:w w:val="9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w w:val="90"/>
          <w:sz w:val="32"/>
          <w:szCs w:val="32"/>
        </w:rPr>
        <w:t>杭州北江集团概况</w:t>
      </w:r>
    </w:p>
    <w:p w:rsidR="001363D9" w:rsidRDefault="001363D9" w:rsidP="001363D9">
      <w:pPr>
        <w:spacing w:line="120" w:lineRule="auto"/>
        <w:ind w:firstLineChars="196" w:firstLine="571"/>
        <w:rPr>
          <w:rFonts w:ascii="仿宋" w:eastAsia="仿宋" w:hAnsi="仿宋" w:cs="仿宋"/>
          <w:b/>
          <w:bCs/>
          <w:w w:val="90"/>
          <w:sz w:val="32"/>
          <w:szCs w:val="32"/>
        </w:rPr>
      </w:pPr>
    </w:p>
    <w:p w:rsidR="001363D9" w:rsidRDefault="001363D9" w:rsidP="001363D9">
      <w:pPr>
        <w:spacing w:line="120" w:lineRule="auto"/>
        <w:ind w:firstLineChars="200" w:firstLine="575"/>
        <w:rPr>
          <w:rFonts w:ascii="仿宋" w:eastAsia="仿宋" w:hAnsi="仿宋" w:cs="仿宋"/>
          <w:w w:val="90"/>
          <w:sz w:val="32"/>
          <w:szCs w:val="32"/>
        </w:rPr>
      </w:pPr>
      <w:r>
        <w:rPr>
          <w:rFonts w:ascii="仿宋" w:eastAsia="仿宋" w:hAnsi="仿宋" w:cs="仿宋" w:hint="eastAsia"/>
          <w:w w:val="90"/>
          <w:sz w:val="32"/>
          <w:szCs w:val="32"/>
        </w:rPr>
        <w:t>杭州北江集团有限公司前身为浙江中农实业有限公司，创立于2</w:t>
      </w:r>
      <w:r>
        <w:rPr>
          <w:rFonts w:ascii="仿宋" w:eastAsia="仿宋" w:hAnsi="仿宋" w:cs="仿宋"/>
          <w:w w:val="90"/>
          <w:sz w:val="32"/>
          <w:szCs w:val="32"/>
        </w:rPr>
        <w:t>013</w:t>
      </w:r>
      <w:r>
        <w:rPr>
          <w:rFonts w:ascii="仿宋" w:eastAsia="仿宋" w:hAnsi="仿宋" w:cs="仿宋" w:hint="eastAsia"/>
          <w:w w:val="90"/>
          <w:sz w:val="32"/>
          <w:szCs w:val="32"/>
        </w:rPr>
        <w:t>年，</w:t>
      </w:r>
      <w:r>
        <w:rPr>
          <w:rFonts w:ascii="Times New Roman" w:eastAsia="仿宋_GB2312" w:hAnsi="Times New Roman"/>
          <w:w w:val="90"/>
          <w:sz w:val="32"/>
          <w:szCs w:val="32"/>
        </w:rPr>
        <w:t>是</w:t>
      </w:r>
      <w:r>
        <w:rPr>
          <w:rFonts w:ascii="Times New Roman" w:eastAsia="仿宋_GB2312" w:hAnsi="Times New Roman" w:hint="eastAsia"/>
          <w:w w:val="90"/>
          <w:sz w:val="32"/>
          <w:szCs w:val="32"/>
        </w:rPr>
        <w:t>一家从事</w:t>
      </w:r>
      <w:r>
        <w:rPr>
          <w:rFonts w:ascii="Times New Roman" w:eastAsia="仿宋_GB2312" w:hAnsi="Times New Roman"/>
          <w:w w:val="90"/>
          <w:sz w:val="32"/>
          <w:szCs w:val="32"/>
        </w:rPr>
        <w:t>农产品批发</w:t>
      </w:r>
      <w:r>
        <w:rPr>
          <w:rFonts w:ascii="仿宋" w:eastAsia="仿宋" w:hAnsi="仿宋" w:cs="仿宋" w:hint="eastAsia"/>
          <w:w w:val="90"/>
          <w:sz w:val="32"/>
          <w:szCs w:val="32"/>
        </w:rPr>
        <w:t>市场项目开发建设及运营的专业性、综合性集团公司</w:t>
      </w:r>
      <w:r w:rsidR="006559B5">
        <w:rPr>
          <w:rFonts w:ascii="仿宋" w:eastAsia="仿宋" w:hAnsi="仿宋" w:cs="仿宋" w:hint="eastAsia"/>
          <w:w w:val="90"/>
          <w:sz w:val="32"/>
          <w:szCs w:val="32"/>
        </w:rPr>
        <w:t>。</w:t>
      </w:r>
      <w:bookmarkStart w:id="0" w:name="_GoBack"/>
      <w:bookmarkEnd w:id="0"/>
      <w:r>
        <w:rPr>
          <w:rFonts w:ascii="仿宋" w:eastAsia="仿宋" w:hAnsi="仿宋" w:cs="仿宋" w:hint="eastAsia"/>
          <w:w w:val="90"/>
          <w:sz w:val="32"/>
          <w:szCs w:val="32"/>
        </w:rPr>
        <w:t>公司经营管理和专业技术实力雄厚，是农产品流通领域龙头企业，已先后在我国云南、湖南、浙江、山东、吉林、安徽、江苏、河北8省投资建设10余个开发项目，业务涉及农批市场、社区农贸、冷链物流、</w:t>
      </w:r>
      <w:r>
        <w:rPr>
          <w:rFonts w:ascii="仿宋" w:eastAsia="仿宋" w:hAnsi="仿宋" w:cs="仿宋" w:hint="eastAsia"/>
          <w:bCs/>
          <w:w w:val="90"/>
          <w:sz w:val="32"/>
          <w:szCs w:val="32"/>
        </w:rPr>
        <w:t>酒店、住宅、新型碳材料等</w:t>
      </w:r>
      <w:r>
        <w:rPr>
          <w:rFonts w:ascii="仿宋" w:eastAsia="仿宋" w:hAnsi="仿宋" w:cs="仿宋" w:hint="eastAsia"/>
          <w:w w:val="90"/>
          <w:sz w:val="32"/>
          <w:szCs w:val="32"/>
        </w:rPr>
        <w:t>。总资产达</w:t>
      </w:r>
      <w:r w:rsidR="0093616F">
        <w:rPr>
          <w:rFonts w:ascii="仿宋" w:eastAsia="仿宋" w:hAnsi="仿宋" w:cs="仿宋"/>
          <w:w w:val="90"/>
          <w:sz w:val="32"/>
          <w:szCs w:val="32"/>
        </w:rPr>
        <w:t>25</w:t>
      </w:r>
      <w:r>
        <w:rPr>
          <w:rFonts w:ascii="仿宋" w:eastAsia="仿宋" w:hAnsi="仿宋" w:cs="仿宋" w:hint="eastAsia"/>
          <w:w w:val="90"/>
          <w:sz w:val="32"/>
          <w:szCs w:val="32"/>
        </w:rPr>
        <w:t>余亿元，旗下各农批、农贸市场年交易额逾200余亿元，多家市场被授予国家农业部“定点市场”、“菜篮子工程”，商务部“双百市场</w:t>
      </w:r>
      <w:r w:rsidR="007D665A">
        <w:rPr>
          <w:rFonts w:ascii="仿宋" w:eastAsia="仿宋" w:hAnsi="仿宋" w:cs="仿宋" w:hint="eastAsia"/>
          <w:w w:val="90"/>
          <w:sz w:val="32"/>
          <w:szCs w:val="32"/>
        </w:rPr>
        <w:t>工程</w:t>
      </w:r>
      <w:r>
        <w:rPr>
          <w:rFonts w:ascii="仿宋" w:eastAsia="仿宋" w:hAnsi="仿宋" w:cs="仿宋" w:hint="eastAsia"/>
          <w:w w:val="90"/>
          <w:sz w:val="32"/>
          <w:szCs w:val="32"/>
        </w:rPr>
        <w:t>”等荣誉称号。</w:t>
      </w:r>
    </w:p>
    <w:p w:rsidR="00F65F73" w:rsidRPr="001363D9" w:rsidRDefault="00F65F73"/>
    <w:sectPr w:rsidR="00F65F73" w:rsidRPr="00136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D8" w:rsidRDefault="008E21D8" w:rsidP="007D665A">
      <w:r>
        <w:separator/>
      </w:r>
    </w:p>
  </w:endnote>
  <w:endnote w:type="continuationSeparator" w:id="0">
    <w:p w:rsidR="008E21D8" w:rsidRDefault="008E21D8" w:rsidP="007D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D8" w:rsidRDefault="008E21D8" w:rsidP="007D665A">
      <w:r>
        <w:separator/>
      </w:r>
    </w:p>
  </w:footnote>
  <w:footnote w:type="continuationSeparator" w:id="0">
    <w:p w:rsidR="008E21D8" w:rsidRDefault="008E21D8" w:rsidP="007D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D9"/>
    <w:rsid w:val="001363D9"/>
    <w:rsid w:val="00261C3D"/>
    <w:rsid w:val="006559B5"/>
    <w:rsid w:val="007D665A"/>
    <w:rsid w:val="008E21D8"/>
    <w:rsid w:val="0093616F"/>
    <w:rsid w:val="00EC6F76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11E58"/>
  <w15:chartTrackingRefBased/>
  <w15:docId w15:val="{77F8BC36-7C57-4684-B875-D396137C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6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6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2021-11-11T07:08:00Z</dcterms:created>
  <dcterms:modified xsi:type="dcterms:W3CDTF">2021-12-24T01:12:00Z</dcterms:modified>
</cp:coreProperties>
</file>